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536" w:rsidRDefault="00755536" w:rsidP="00755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Atti 46/2022</w:t>
      </w:r>
    </w:p>
    <w:p w:rsidR="00755536" w:rsidRDefault="00755536" w:rsidP="00755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:rsidR="00755536" w:rsidRPr="00755536" w:rsidRDefault="00755536" w:rsidP="00755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 w:rsidRPr="00755536">
        <w:rPr>
          <w:rFonts w:ascii="Calibri" w:eastAsia="Calibri" w:hAnsi="Calibri" w:cs="Calibri"/>
          <w:b/>
          <w:color w:val="000000"/>
          <w:sz w:val="22"/>
          <w:szCs w:val="22"/>
        </w:rPr>
        <w:t>FONDAZIONE IRCCS</w:t>
      </w:r>
    </w:p>
    <w:p w:rsidR="00755536" w:rsidRPr="00755536" w:rsidRDefault="00755536" w:rsidP="00755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 w:rsidRPr="00755536">
        <w:rPr>
          <w:rFonts w:ascii="Calibri" w:eastAsia="Calibri" w:hAnsi="Calibri" w:cs="Calibri"/>
          <w:b/>
          <w:color w:val="000000"/>
          <w:sz w:val="22"/>
          <w:szCs w:val="22"/>
        </w:rPr>
        <w:t>Ca’ Granda - Ospedale Maggiore Policlinico</w:t>
      </w:r>
    </w:p>
    <w:p w:rsidR="00755536" w:rsidRPr="00755536" w:rsidRDefault="00755536" w:rsidP="00755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 w:rsidRPr="00755536">
        <w:rPr>
          <w:rFonts w:ascii="Calibri" w:eastAsia="Calibri" w:hAnsi="Calibri" w:cs="Calibri"/>
          <w:b/>
          <w:color w:val="000000"/>
          <w:sz w:val="22"/>
          <w:szCs w:val="22"/>
        </w:rPr>
        <w:t>Via F. Sforza, 28 - 20122 Milano</w:t>
      </w:r>
    </w:p>
    <w:p w:rsidR="00755536" w:rsidRPr="00755536" w:rsidRDefault="00755536" w:rsidP="00755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 w:rsidRPr="00755536">
        <w:rPr>
          <w:rFonts w:ascii="Calibri" w:eastAsia="Calibri" w:hAnsi="Calibri" w:cs="Calibri"/>
          <w:b/>
          <w:color w:val="000000"/>
          <w:sz w:val="22"/>
          <w:szCs w:val="22"/>
        </w:rPr>
        <w:t>tel. 02/5503.8265 - fax 02/5830.6067</w:t>
      </w:r>
    </w:p>
    <w:p w:rsidR="00594E60" w:rsidRPr="004C39BF" w:rsidRDefault="00755536" w:rsidP="00755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</w:rPr>
      </w:pPr>
      <w:r w:rsidRPr="004C39BF">
        <w:rPr>
          <w:rFonts w:ascii="Calibri" w:eastAsia="Calibri" w:hAnsi="Calibri" w:cs="Calibri"/>
          <w:color w:val="000000"/>
          <w:sz w:val="22"/>
          <w:szCs w:val="22"/>
        </w:rPr>
        <w:t>Responsabile del procedimento: dott. Giorgio Riccardo Ruscica</w:t>
      </w:r>
    </w:p>
    <w:p w:rsidR="00594E60" w:rsidRPr="004C39BF" w:rsidRDefault="00594E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:rsidR="004C39BF" w:rsidRPr="004C39BF" w:rsidRDefault="004C39BF" w:rsidP="004C39B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4C39BF">
        <w:rPr>
          <w:rFonts w:ascii="Calibri" w:eastAsia="Calibri" w:hAnsi="Calibri" w:cs="Calibri"/>
          <w:color w:val="000000"/>
          <w:sz w:val="22"/>
          <w:szCs w:val="22"/>
        </w:rPr>
        <w:t xml:space="preserve">È indetta procedura aperta, da esperirsi ai sensi dell’art. 60 del d.lgs. n. 50/2016, con aggiudicazione a favore dell’offerta economicamente più vantaggiosa, ai sensi dell’art. 95 e dell’art. 97 del medesimo d.lgs., per l’affidamento dell’appalto per la </w:t>
      </w:r>
      <w:r w:rsidRPr="004C39BF">
        <w:rPr>
          <w:rFonts w:ascii="Calibri" w:hAnsi="Calibri" w:cs="Arial"/>
          <w:bCs/>
          <w:sz w:val="22"/>
          <w:szCs w:val="22"/>
        </w:rPr>
        <w:t xml:space="preserve">fornitura di sistemi diagnostici multifunzionali automatici per l'esecuzione di determinazioni </w:t>
      </w:r>
      <w:proofErr w:type="spellStart"/>
      <w:r w:rsidRPr="004C39BF">
        <w:rPr>
          <w:rFonts w:ascii="Calibri" w:hAnsi="Calibri" w:cs="Arial"/>
          <w:bCs/>
          <w:sz w:val="22"/>
          <w:szCs w:val="22"/>
        </w:rPr>
        <w:t>immunoistochimiche</w:t>
      </w:r>
      <w:proofErr w:type="spellEnd"/>
      <w:r w:rsidRPr="004C39BF">
        <w:rPr>
          <w:rFonts w:ascii="Calibri" w:hAnsi="Calibri" w:cs="Arial"/>
          <w:bCs/>
          <w:sz w:val="22"/>
          <w:szCs w:val="22"/>
        </w:rPr>
        <w:t xml:space="preserve"> di preparati cito-istologici</w:t>
      </w:r>
      <w:r w:rsidRPr="004C39BF">
        <w:rPr>
          <w:rFonts w:ascii="Calibri" w:eastAsia="Calibri" w:hAnsi="Calibri" w:cs="Calibri"/>
          <w:sz w:val="22"/>
          <w:szCs w:val="22"/>
        </w:rPr>
        <w:t xml:space="preserve"> occorrenti alla Fondazione IRCCS Ca’ Granda – Ospedale Maggiore Policlinico, alla Fondazione IRCCS Policlinico San Matteo, all’ASST Monza, all’ASST Santi Paolo e Carlo e all’ASST Melegnano e della Martesana</w:t>
      </w:r>
      <w:r w:rsidRPr="004C39BF">
        <w:rPr>
          <w:rFonts w:ascii="Calibri" w:eastAsia="Calibri" w:hAnsi="Calibri" w:cs="Calibri"/>
          <w:color w:val="000000"/>
          <w:sz w:val="22"/>
          <w:szCs w:val="22"/>
        </w:rPr>
        <w:t>, per 60 mesi, eventualmente rinnovabile per ulteriori 60 mesi e prorogabile, ai sensi dell’art. 106, comma 11, del d.lgs. n. 50/2016 (Decreto a contrattare n. 2701 del 14.10.2022).</w:t>
      </w:r>
    </w:p>
    <w:p w:rsidR="004C39BF" w:rsidRPr="004C39BF" w:rsidRDefault="004C39BF" w:rsidP="004C39B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4C39BF" w:rsidRPr="004C39BF" w:rsidRDefault="004C39BF" w:rsidP="004C39B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4C39BF">
        <w:rPr>
          <w:rFonts w:ascii="Calibri" w:eastAsia="Calibri" w:hAnsi="Calibri" w:cs="Calibri"/>
          <w:color w:val="000000"/>
          <w:sz w:val="22"/>
          <w:szCs w:val="22"/>
        </w:rPr>
        <w:t xml:space="preserve">Importo complessivo, per </w:t>
      </w:r>
      <w:r>
        <w:rPr>
          <w:rFonts w:ascii="Calibri" w:eastAsia="Calibri" w:hAnsi="Calibri" w:cs="Calibri"/>
          <w:color w:val="000000"/>
          <w:sz w:val="22"/>
          <w:szCs w:val="22"/>
        </w:rPr>
        <w:t>60</w:t>
      </w:r>
      <w:r w:rsidRPr="004C39BF">
        <w:rPr>
          <w:rFonts w:ascii="Calibri" w:eastAsia="Calibri" w:hAnsi="Calibri" w:cs="Calibri"/>
          <w:color w:val="000000"/>
          <w:sz w:val="22"/>
          <w:szCs w:val="22"/>
        </w:rPr>
        <w:t xml:space="preserve"> mesi, posto a base d’asta, al netto degli oneri per la sicurezza, € </w:t>
      </w:r>
      <w:r w:rsidRPr="00606378">
        <w:rPr>
          <w:rFonts w:ascii="Calibri" w:eastAsia="Calibri" w:hAnsi="Calibri" w:cs="Calibri"/>
          <w:sz w:val="22"/>
          <w:szCs w:val="22"/>
        </w:rPr>
        <w:t>4.896.625,00</w:t>
      </w:r>
      <w:r w:rsidRPr="004C39BF">
        <w:rPr>
          <w:rFonts w:ascii="Calibri" w:eastAsia="Calibri" w:hAnsi="Calibri" w:cs="Calibri"/>
          <w:color w:val="000000"/>
          <w:sz w:val="22"/>
          <w:szCs w:val="22"/>
        </w:rPr>
        <w:t>.= I.V.A. esclusa.</w:t>
      </w:r>
    </w:p>
    <w:p w:rsidR="004C39BF" w:rsidRPr="004C39BF" w:rsidRDefault="004C39BF" w:rsidP="004C39B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4C39BF" w:rsidRPr="004C39BF" w:rsidRDefault="004C39BF" w:rsidP="004C39B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4C39BF">
        <w:rPr>
          <w:rFonts w:ascii="Calibri" w:eastAsia="Calibri" w:hAnsi="Calibri" w:cs="Calibri"/>
          <w:color w:val="000000"/>
          <w:sz w:val="22"/>
          <w:szCs w:val="22"/>
        </w:rPr>
        <w:t xml:space="preserve">Le modalità ed i requisiti di partecipazione alla gara sono indicati nel bando di gara, inviato alla GUUE in data  </w:t>
      </w:r>
      <w:r>
        <w:rPr>
          <w:rFonts w:ascii="Calibri" w:eastAsia="Calibri" w:hAnsi="Calibri" w:cs="Calibri"/>
          <w:color w:val="000000"/>
          <w:sz w:val="22"/>
          <w:szCs w:val="22"/>
        </w:rPr>
        <w:t>17</w:t>
      </w:r>
      <w:r w:rsidRPr="004C39BF">
        <w:rPr>
          <w:rFonts w:ascii="Calibri" w:eastAsia="Calibri" w:hAnsi="Calibri" w:cs="Calibri"/>
          <w:color w:val="000000"/>
          <w:sz w:val="22"/>
          <w:szCs w:val="22"/>
        </w:rPr>
        <w:t>.</w:t>
      </w:r>
      <w:r>
        <w:rPr>
          <w:rFonts w:ascii="Calibri" w:eastAsia="Calibri" w:hAnsi="Calibri" w:cs="Calibri"/>
          <w:color w:val="000000"/>
          <w:sz w:val="22"/>
          <w:szCs w:val="22"/>
        </w:rPr>
        <w:t>10</w:t>
      </w:r>
      <w:r w:rsidRPr="004C39BF">
        <w:rPr>
          <w:rFonts w:ascii="Calibri" w:eastAsia="Calibri" w:hAnsi="Calibri" w:cs="Calibri"/>
          <w:color w:val="000000"/>
          <w:sz w:val="22"/>
          <w:szCs w:val="22"/>
        </w:rPr>
        <w:t>.2022.</w:t>
      </w:r>
    </w:p>
    <w:p w:rsidR="004C39BF" w:rsidRPr="004C39BF" w:rsidRDefault="004C39BF" w:rsidP="004C39B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4C39BF" w:rsidRPr="004C39BF" w:rsidRDefault="004C39BF" w:rsidP="004C39B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4C39BF">
        <w:rPr>
          <w:rFonts w:ascii="Calibri" w:eastAsia="Calibri" w:hAnsi="Calibri" w:cs="Calibri"/>
          <w:color w:val="000000"/>
          <w:sz w:val="22"/>
          <w:szCs w:val="22"/>
        </w:rPr>
        <w:t xml:space="preserve">La documentazione di gara (bando integrale, capitolato speciale e disciplinare di gara) potrà essere scaricata dal sito internet </w:t>
      </w:r>
      <w:r w:rsidRPr="00917632">
        <w:rPr>
          <w:rFonts w:ascii="Calibri" w:eastAsia="Calibri" w:hAnsi="Calibri" w:cs="Calibri"/>
          <w:color w:val="000000"/>
          <w:sz w:val="22"/>
          <w:szCs w:val="22"/>
          <w:u w:val="single"/>
        </w:rPr>
        <w:t>www.policlinico.mi.it</w:t>
      </w:r>
      <w:r w:rsidRPr="004C39BF">
        <w:rPr>
          <w:rFonts w:ascii="Calibri" w:eastAsia="Calibri" w:hAnsi="Calibri" w:cs="Calibri"/>
          <w:color w:val="000000"/>
          <w:sz w:val="22"/>
          <w:szCs w:val="22"/>
        </w:rPr>
        <w:t xml:space="preserve"> (gare e concorsi/bandi di gara) oppure dal sito per le gare telematiche </w:t>
      </w:r>
      <w:r w:rsidRPr="00917632">
        <w:rPr>
          <w:rFonts w:ascii="Calibri" w:eastAsia="Calibri" w:hAnsi="Calibri" w:cs="Calibri"/>
          <w:color w:val="000000"/>
          <w:sz w:val="22"/>
          <w:szCs w:val="22"/>
          <w:u w:val="single"/>
        </w:rPr>
        <w:t xml:space="preserve">www.ariaspa.it </w:t>
      </w:r>
      <w:r w:rsidRPr="004C39BF">
        <w:rPr>
          <w:rFonts w:ascii="Calibri" w:eastAsia="Calibri" w:hAnsi="Calibri" w:cs="Calibri"/>
          <w:color w:val="000000"/>
          <w:sz w:val="22"/>
          <w:szCs w:val="22"/>
        </w:rPr>
        <w:t>- area SinTel.</w:t>
      </w:r>
    </w:p>
    <w:p w:rsidR="004C39BF" w:rsidRPr="004C39BF" w:rsidRDefault="004C39BF" w:rsidP="004C39B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86"/>
        <w:gridCol w:w="4886"/>
      </w:tblGrid>
      <w:tr w:rsidR="004C39BF" w:rsidTr="004C39BF">
        <w:tc>
          <w:tcPr>
            <w:tcW w:w="4886" w:type="dxa"/>
          </w:tcPr>
          <w:p w:rsidR="004C39BF" w:rsidRDefault="004C39BF" w:rsidP="004C39BF">
            <w:pPr>
              <w:spacing w:after="0" w:line="240" w:lineRule="auto"/>
              <w:ind w:leftChars="0" w:left="0" w:firstLineChars="0" w:firstLine="0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4C39BF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IL DIRETTORE AMMINISTRATIVO</w:t>
            </w:r>
          </w:p>
          <w:p w:rsidR="004C39BF" w:rsidRDefault="004C39BF" w:rsidP="004C39BF">
            <w:pPr>
              <w:spacing w:after="0" w:line="240" w:lineRule="auto"/>
              <w:ind w:leftChars="0" w:left="0" w:firstLineChars="0" w:firstLine="0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4C39BF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(Dott. Fabio </w:t>
            </w:r>
            <w:proofErr w:type="spellStart"/>
            <w:r w:rsidRPr="004C39BF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Agrò</w:t>
            </w:r>
            <w:proofErr w:type="spellEnd"/>
            <w:r w:rsidRPr="004C39BF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4886" w:type="dxa"/>
          </w:tcPr>
          <w:p w:rsidR="004C39BF" w:rsidRDefault="004C39BF" w:rsidP="004C39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4C39BF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IL DIRETTORE GENERALE</w:t>
            </w:r>
          </w:p>
          <w:p w:rsidR="004C39BF" w:rsidRDefault="004C39BF" w:rsidP="004C39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4C39BF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(Dott. Ezio Belleri)</w:t>
            </w:r>
          </w:p>
          <w:p w:rsidR="004C39BF" w:rsidRDefault="004C39BF" w:rsidP="004C39BF">
            <w:pPr>
              <w:spacing w:after="0" w:line="240" w:lineRule="auto"/>
              <w:ind w:leftChars="0" w:left="0" w:firstLineChars="0" w:firstLine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4C39BF" w:rsidRDefault="004C39BF" w:rsidP="004C39B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:rsidR="004C39BF" w:rsidRDefault="004C39BF" w:rsidP="004C39B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:rsidR="004C39BF" w:rsidRDefault="004C39BF" w:rsidP="004C39B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:rsidR="004C39BF" w:rsidRPr="004C39BF" w:rsidRDefault="004C39BF" w:rsidP="004C39B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:rsidR="00594E60" w:rsidRDefault="004C39BF" w:rsidP="004C39B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 w:rsidRPr="004C39BF"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</w:p>
    <w:sectPr w:rsidR="00594E60" w:rsidSect="006448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2721" w:right="1134" w:bottom="1843" w:left="1134" w:header="708" w:footer="683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6956" w:rsidRDefault="00A56956">
      <w:pPr>
        <w:spacing w:after="0" w:line="240" w:lineRule="auto"/>
        <w:ind w:left="0" w:hanging="2"/>
      </w:pPr>
      <w:r>
        <w:separator/>
      </w:r>
    </w:p>
  </w:endnote>
  <w:endnote w:type="continuationSeparator" w:id="0">
    <w:p w:rsidR="00A56956" w:rsidRDefault="00A56956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E60" w:rsidRDefault="00594E60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E60" w:rsidRDefault="00A61BAD">
    <w:pPr>
      <w:ind w:left="0" w:hanging="2"/>
      <w:rPr>
        <w:rFonts w:ascii="Calibri" w:eastAsia="Calibri" w:hAnsi="Calibri" w:cs="Calibri"/>
        <w:color w:val="000000"/>
        <w:sz w:val="16"/>
        <w:szCs w:val="16"/>
      </w:rPr>
    </w:pPr>
    <w:r>
      <w:rPr>
        <w:rFonts w:ascii="Calibri" w:eastAsia="Calibri" w:hAnsi="Calibri" w:cs="Calibri"/>
        <w:noProof/>
        <w:sz w:val="16"/>
        <w:szCs w:val="16"/>
        <w:lang w:eastAsia="it-IT"/>
      </w:rPr>
      <w:drawing>
        <wp:inline distT="114300" distB="114300" distL="114300" distR="114300">
          <wp:extent cx="6119820" cy="812800"/>
          <wp:effectExtent l="0" t="0" r="0" b="0"/>
          <wp:docPr id="2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9820" cy="812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E60" w:rsidRDefault="00A61BAD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rFonts w:ascii="Calibri" w:eastAsia="Calibri" w:hAnsi="Calibri" w:cs="Calibri"/>
        <w:noProof/>
        <w:color w:val="000000"/>
        <w:sz w:val="16"/>
        <w:szCs w:val="16"/>
        <w:lang w:eastAsia="it-IT"/>
      </w:rPr>
      <w:drawing>
        <wp:inline distT="114300" distB="114300" distL="114300" distR="114300">
          <wp:extent cx="6119820" cy="812800"/>
          <wp:effectExtent l="0" t="0" r="0" b="0"/>
          <wp:docPr id="4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9820" cy="812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6956" w:rsidRDefault="00A56956">
      <w:pPr>
        <w:spacing w:after="0" w:line="240" w:lineRule="auto"/>
        <w:ind w:left="0" w:hanging="2"/>
      </w:pPr>
      <w:r>
        <w:separator/>
      </w:r>
    </w:p>
  </w:footnote>
  <w:footnote w:type="continuationSeparator" w:id="0">
    <w:p w:rsidR="00A56956" w:rsidRDefault="00A56956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E60" w:rsidRDefault="00EC3E75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 w:rsidRPr="00EC3E75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0;margin-top:0;width:434.05pt;height:613.7pt;z-index:-251656192;mso-position-horizontal:center;mso-position-horizontal-relative:margin;mso-position-vertical:center;mso-position-vertical-relative:margin">
          <v:imagedata r:id="rId1" o:title="image3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E60" w:rsidRDefault="00EC3E75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 w:rsidRPr="00EC3E75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Connettore 2 6" o:spid="_x0000_s1026" type="#_x0000_t32" style="position:absolute;margin-left:0;margin-top:72.85pt;width:481.9pt;height:1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" filled="t" strokecolor="gray" strokeweight="1pt">
          <v:stroke joinstyle="miter"/>
        </v:shape>
      </w:pict>
    </w:r>
    <w:r w:rsidR="00A61BAD">
      <w:rPr>
        <w:noProof/>
        <w:lang w:eastAsia="it-IT"/>
      </w:rPr>
      <w:drawing>
        <wp:anchor distT="0" distB="0" distL="0" distR="0" simplePos="0" relativeHeight="251655168" behindDoc="1" locked="0" layoutInCell="1" allowOverlap="1">
          <wp:simplePos x="0" y="0"/>
          <wp:positionH relativeFrom="column">
            <wp:posOffset>-100965</wp:posOffset>
          </wp:positionH>
          <wp:positionV relativeFrom="page">
            <wp:posOffset>363855</wp:posOffset>
          </wp:positionV>
          <wp:extent cx="4028400" cy="1011600"/>
          <wp:effectExtent l="0" t="0" r="0" b="0"/>
          <wp:wrapTopAndBottom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28400" cy="1011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E60" w:rsidRDefault="00A61BAD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noProof/>
        <w:lang w:eastAsia="it-IT"/>
      </w:rPr>
      <w:drawing>
        <wp:anchor distT="0" distB="0" distL="0" distR="0" simplePos="0" relativeHeight="251657216" behindDoc="1" locked="0" layoutInCell="1" allowOverlap="1">
          <wp:simplePos x="0" y="0"/>
          <wp:positionH relativeFrom="column">
            <wp:posOffset>-100963</wp:posOffset>
          </wp:positionH>
          <wp:positionV relativeFrom="paragraph">
            <wp:posOffset>-87628</wp:posOffset>
          </wp:positionV>
          <wp:extent cx="4029075" cy="1009650"/>
          <wp:effectExtent l="0" t="0" r="0" b="0"/>
          <wp:wrapNone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594E60" w:rsidRDefault="00594E60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:rsidR="00594E60" w:rsidRDefault="00594E60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:rsidR="00594E60" w:rsidRDefault="00594E60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:rsidR="00594E60" w:rsidRDefault="00594E60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:rsidR="009D0C10" w:rsidRDefault="009D0C10" w:rsidP="00A61BAD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b/>
        <w:sz w:val="18"/>
        <w:szCs w:val="18"/>
      </w:rPr>
    </w:pPr>
    <w:r>
      <w:rPr>
        <w:rFonts w:ascii="Century Gothic" w:hAnsi="Century Gothic"/>
        <w:sz w:val="18"/>
        <w:szCs w:val="18"/>
      </w:rPr>
      <w:t>Dipartimento Tecnico e delle Tecnologie</w:t>
    </w:r>
    <w:r>
      <w:rPr>
        <w:rFonts w:ascii="Century Gothic" w:eastAsia="Century Gothic" w:hAnsi="Century Gothic" w:cs="Century Gothic"/>
        <w:b/>
        <w:sz w:val="18"/>
        <w:szCs w:val="18"/>
      </w:rPr>
      <w:t xml:space="preserve"> </w:t>
    </w:r>
  </w:p>
  <w:p w:rsidR="00594E60" w:rsidRPr="00A61BAD" w:rsidRDefault="00A61BAD" w:rsidP="00A61BAD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b/>
        <w:color w:val="000000"/>
        <w:sz w:val="18"/>
        <w:szCs w:val="18"/>
      </w:rPr>
    </w:pPr>
    <w:r>
      <w:rPr>
        <w:rFonts w:ascii="Century Gothic" w:eastAsia="Century Gothic" w:hAnsi="Century Gothic" w:cs="Century Gothic"/>
        <w:b/>
        <w:sz w:val="18"/>
        <w:szCs w:val="18"/>
      </w:rPr>
      <w:t>S</w:t>
    </w:r>
    <w:r>
      <w:rPr>
        <w:rFonts w:ascii="Century Gothic" w:eastAsia="Century Gothic" w:hAnsi="Century Gothic" w:cs="Century Gothic"/>
        <w:b/>
        <w:color w:val="000000"/>
        <w:sz w:val="18"/>
        <w:szCs w:val="18"/>
      </w:rPr>
      <w:t xml:space="preserve">C </w:t>
    </w:r>
    <w:r w:rsidR="009D0C10">
      <w:rPr>
        <w:rFonts w:ascii="Century Gothic" w:eastAsia="Century Gothic" w:hAnsi="Century Gothic" w:cs="Century Gothic"/>
        <w:b/>
        <w:color w:val="000000"/>
        <w:sz w:val="18"/>
        <w:szCs w:val="18"/>
      </w:rPr>
      <w:t xml:space="preserve">Approvvigionamenti ed Economato </w:t>
    </w:r>
    <w:r w:rsidR="009D0C10">
      <w:rPr>
        <w:rFonts w:ascii="Century Gothic" w:eastAsia="Century Gothic" w:hAnsi="Century Gothic" w:cs="Century Gothic"/>
        <w:color w:val="000000"/>
        <w:sz w:val="18"/>
        <w:szCs w:val="18"/>
      </w:rPr>
      <w:t>–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 </w:t>
    </w:r>
    <w:r>
      <w:rPr>
        <w:rFonts w:ascii="Century Gothic" w:eastAsia="Century Gothic" w:hAnsi="Century Gothic" w:cs="Century Gothic"/>
        <w:sz w:val="18"/>
        <w:szCs w:val="18"/>
      </w:rPr>
      <w:t>Direttore</w:t>
    </w:r>
    <w:r w:rsidR="009D0C10">
      <w:rPr>
        <w:rFonts w:ascii="Century Gothic" w:eastAsia="Century Gothic" w:hAnsi="Century Gothic" w:cs="Century Gothic"/>
        <w:sz w:val="18"/>
        <w:szCs w:val="18"/>
      </w:rPr>
      <w:t xml:space="preserve"> </w:t>
    </w:r>
    <w:proofErr w:type="spellStart"/>
    <w:r w:rsidR="009D0C10">
      <w:rPr>
        <w:rFonts w:ascii="Century Gothic" w:eastAsia="Century Gothic" w:hAnsi="Century Gothic" w:cs="Century Gothic"/>
        <w:sz w:val="18"/>
        <w:szCs w:val="18"/>
      </w:rPr>
      <w:t>f.f.</w:t>
    </w:r>
    <w:proofErr w:type="spellEnd"/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: </w:t>
    </w:r>
    <w:r w:rsidR="009D0C10">
      <w:rPr>
        <w:rFonts w:ascii="Century Gothic" w:eastAsia="Century Gothic" w:hAnsi="Century Gothic" w:cs="Century Gothic"/>
        <w:color w:val="000000"/>
        <w:sz w:val="18"/>
        <w:szCs w:val="18"/>
      </w:rPr>
      <w:t>Dott. Giorgio Riccardo Ruscica</w:t>
    </w:r>
  </w:p>
  <w:p w:rsidR="00594E60" w:rsidRDefault="00A61BAD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color w:val="000000"/>
        <w:sz w:val="18"/>
        <w:szCs w:val="18"/>
      </w:rPr>
    </w:pPr>
    <w:r>
      <w:rPr>
        <w:rFonts w:ascii="Century Gothic" w:eastAsia="Century Gothic" w:hAnsi="Century Gothic" w:cs="Century Gothic"/>
        <w:color w:val="000000"/>
        <w:sz w:val="18"/>
        <w:szCs w:val="18"/>
      </w:rPr>
      <w:t>Tel. 02 5503.</w:t>
    </w:r>
    <w:r w:rsidR="009D0C10">
      <w:rPr>
        <w:rFonts w:ascii="Century Gothic" w:eastAsia="Century Gothic" w:hAnsi="Century Gothic" w:cs="Century Gothic"/>
        <w:sz w:val="18"/>
        <w:szCs w:val="18"/>
      </w:rPr>
      <w:t>8302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  </w:t>
    </w:r>
  </w:p>
  <w:p w:rsidR="00594E60" w:rsidRDefault="00A61BAD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rFonts w:ascii="Century Gothic" w:eastAsia="Century Gothic" w:hAnsi="Century Gothic" w:cs="Century Gothic"/>
        <w:sz w:val="18"/>
        <w:szCs w:val="18"/>
      </w:rPr>
      <w:t>E-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mail: </w:t>
    </w:r>
    <w:r w:rsidR="009D0C10">
      <w:rPr>
        <w:rFonts w:ascii="Century Gothic" w:eastAsia="Century Gothic" w:hAnsi="Century Gothic" w:cs="Century Gothic"/>
        <w:sz w:val="18"/>
        <w:szCs w:val="18"/>
      </w:rPr>
      <w:t>acquisti@policlinico.mi.it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 | pec: </w:t>
    </w:r>
    <ve:AlternateContent>
      <mc:Choice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p14="http://schemas.microsoft.com/office/word/2010/wordprocessingDrawing" xmlns:oel="http://schemas.microsoft.com/office/2019/extlst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Requires="wps">
        <w:drawing>
          <wp:anchor distT="0" distB="0" distL="114300" distR="114300" simplePos="0" relativeHeight="251658240" behindDoc="0" locked="0" layoutInCell="1" hidden="0" allowOverlap="1" wp14:anchorId="3B93360F" wp14:editId="198DAAEE">
            <wp:simplePos x="0" y="0"/>
            <wp:positionH relativeFrom="column">
              <wp:posOffset>12701</wp:posOffset>
            </wp:positionH>
            <wp:positionV relativeFrom="paragraph">
              <wp:posOffset>12700</wp:posOffset>
            </wp:positionV>
            <wp:extent cx="635" cy="12700"/>
            <wp:effectExtent l="0" t="0" r="0" b="0"/>
            <wp:wrapNone/>
            <wp:docPr id="1035" name=""/>
            <wp:cNvGraphicFramePr/>
            <a:graphic xmlns:a="http://schemas.openxmlformats.org/drawingml/2006/main">
              <a:graphicData uri="http://schemas.microsoft.com/office/word/2010/wordprocessingShape">
                <wps:wsp>
                  <wps:cNvCnPr/>
                  <wps:spPr>
                    <a:xfrm>
                      <a:off x="2285935" y="3779683"/>
                      <a:ext cx="6120130" cy="635"/>
                    </a:xfrm>
                    <a:prstGeom prst="straightConnector1">
                      <a:avLst/>
                    </a:prstGeom>
                    <a:solidFill>
                      <a:srgbClr val="FFFFFF"/>
                    </a:solidFill>
                    <a:ln w="12700" cap="flat" cmpd="sng">
                      <a:solidFill>
                        <a:srgbClr val="808080"/>
                      </a:solidFill>
                      <a:prstDash val="solid"/>
                      <a:miter lim="800000"/>
                      <a:headEnd type="none" w="sm" len="sm"/>
                      <a:tailEnd type="none" w="sm" len="sm"/>
                    </a:ln>
                  </wps:spPr>
                  <wps:bodyPr/>
                </wps:wsp>
              </a:graphicData>
            </a:graphic>
          </wp:anchor>
        </w:drawing>
      </mc:Choice>
      <ve:Fallback>
        <w:r>
          <w:rPr>
            <w:noProof/>
            <w:lang w:eastAsia="it-IT"/>
          </w:rPr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12701</wp:posOffset>
              </wp:positionH>
              <wp:positionV relativeFrom="paragraph">
                <wp:posOffset>12700</wp:posOffset>
              </wp:positionV>
              <wp:extent cx="635" cy="12700"/>
              <wp:effectExtent l="0" t="0" r="0" b="0"/>
              <wp:wrapNone/>
              <wp:docPr id="1035" name="image5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5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35" cy="12700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anchor>
          </w:drawing>
        </w:r>
      </ve:Fallback>
    </ve:AlternateContent>
    <w:r w:rsidR="009D0C10">
      <w:rPr>
        <w:rFonts w:ascii="Century Gothic" w:eastAsia="Century Gothic" w:hAnsi="Century Gothic" w:cs="Century Gothic"/>
        <w:sz w:val="18"/>
        <w:szCs w:val="18"/>
      </w:rPr>
      <w:t>approvvigionamenti2@pec.policlinico.mi.it</w:t>
    </w:r>
  </w:p>
  <w:p w:rsidR="00C63649" w:rsidRPr="00450EC5" w:rsidRDefault="00C63649" w:rsidP="00C63649">
    <w:pPr>
      <w:pStyle w:val="Nessunaspaziatura"/>
      <w:ind w:left="0" w:hanging="2"/>
      <w:rPr>
        <w:rFonts w:ascii="Century Gothic" w:hAnsi="Century Gothic"/>
        <w:sz w:val="18"/>
        <w:szCs w:val="18"/>
      </w:rPr>
    </w:pPr>
    <w:r>
      <w:rPr>
        <w:rFonts w:ascii="Century Gothic" w:hAnsi="Century Gothic"/>
        <w:sz w:val="18"/>
        <w:szCs w:val="18"/>
      </w:rPr>
      <w:tab/>
    </w:r>
    <w:r>
      <w:rPr>
        <w:rFonts w:ascii="Century Gothic" w:hAnsi="Century Gothic"/>
        <w:sz w:val="18"/>
        <w:szCs w:val="18"/>
      </w:rPr>
      <w:tab/>
    </w:r>
    <w:r>
      <w:rPr>
        <w:rFonts w:ascii="Century Gothic" w:hAnsi="Century Gothic"/>
        <w:sz w:val="18"/>
        <w:szCs w:val="18"/>
      </w:rPr>
      <w:tab/>
    </w:r>
    <w:r>
      <w:rPr>
        <w:rFonts w:ascii="Century Gothic" w:hAnsi="Century Gothic"/>
        <w:sz w:val="18"/>
        <w:szCs w:val="18"/>
      </w:rPr>
      <w:tab/>
    </w:r>
  </w:p>
  <w:p w:rsidR="00C63649" w:rsidRPr="00450EC5" w:rsidRDefault="00EC3E75" w:rsidP="00C63649">
    <w:pPr>
      <w:pStyle w:val="Intestazione"/>
      <w:ind w:left="0" w:hanging="2"/>
    </w:pPr>
    <w:r>
      <w:rPr>
        <w:noProof/>
        <w:lang w:eastAsia="it-I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8" type="#_x0000_t32" style="position:absolute;margin-left:.3pt;margin-top:2.35pt;width:481.9pt;height:.05pt;z-index:251667456" o:connectortype="straight" strokecolor="gray" strokeweight="1pt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283"/>
  <w:characterSpacingControl w:val="doNotCompress"/>
  <w:hdrShapeDefaults>
    <o:shapedefaults v:ext="edit" spidmax="2050"/>
    <o:shapelayout v:ext="edit">
      <o:idmap v:ext="edit" data="1"/>
      <o:rules v:ext="edit">
        <o:r id="V:Rule3" type="connector" idref="#Connettore 2 6"/>
        <o:r id="V:Rule4" type="connector" idref="#_x0000_s1028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94E60"/>
    <w:rsid w:val="00420E6B"/>
    <w:rsid w:val="004548A5"/>
    <w:rsid w:val="004C39BF"/>
    <w:rsid w:val="00594E60"/>
    <w:rsid w:val="00605931"/>
    <w:rsid w:val="00644808"/>
    <w:rsid w:val="00755536"/>
    <w:rsid w:val="00917632"/>
    <w:rsid w:val="009C7D82"/>
    <w:rsid w:val="009D0C10"/>
    <w:rsid w:val="00A56956"/>
    <w:rsid w:val="00A61BAD"/>
    <w:rsid w:val="00B76388"/>
    <w:rsid w:val="00BE57D8"/>
    <w:rsid w:val="00C20701"/>
    <w:rsid w:val="00C63649"/>
    <w:rsid w:val="00EC3E75"/>
    <w:rsid w:val="00F44B12"/>
    <w:rsid w:val="00F542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Cambria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44808"/>
    <w:pPr>
      <w:suppressAutoHyphens/>
      <w:spacing w:after="200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ja-JP"/>
    </w:rPr>
  </w:style>
  <w:style w:type="paragraph" w:styleId="Titolo1">
    <w:name w:val="heading 1"/>
    <w:basedOn w:val="Normale"/>
    <w:next w:val="Normale"/>
    <w:uiPriority w:val="9"/>
    <w:qFormat/>
    <w:rsid w:val="00644808"/>
    <w:pPr>
      <w:keepNext/>
      <w:keepLines/>
      <w:spacing w:before="480" w:after="12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rsid w:val="0064480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rsid w:val="0064480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rsid w:val="00644808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rsid w:val="0064480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rsid w:val="0064480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rsid w:val="0064480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rsid w:val="00644808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64480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uiPriority w:val="99"/>
    <w:qFormat/>
    <w:rsid w:val="00644808"/>
    <w:pPr>
      <w:spacing w:after="0"/>
    </w:pPr>
  </w:style>
  <w:style w:type="character" w:customStyle="1" w:styleId="IntestazioneCarattere">
    <w:name w:val="Intestazione Carattere"/>
    <w:basedOn w:val="Carpredefinitoparagrafo"/>
    <w:rsid w:val="00644808"/>
    <w:rPr>
      <w:w w:val="100"/>
      <w:position w:val="-1"/>
      <w:effect w:val="none"/>
      <w:vertAlign w:val="baseline"/>
      <w:cs w:val="0"/>
      <w:em w:val="none"/>
    </w:rPr>
  </w:style>
  <w:style w:type="paragraph" w:styleId="Pidipagina">
    <w:name w:val="footer"/>
    <w:basedOn w:val="Normale"/>
    <w:qFormat/>
    <w:rsid w:val="00644808"/>
    <w:pPr>
      <w:spacing w:after="0"/>
    </w:pPr>
  </w:style>
  <w:style w:type="character" w:customStyle="1" w:styleId="PidipaginaCarattere">
    <w:name w:val="Piè di pagina Carattere"/>
    <w:basedOn w:val="Carpredefinitoparagrafo"/>
    <w:rsid w:val="00644808"/>
    <w:rPr>
      <w:w w:val="100"/>
      <w:position w:val="-1"/>
      <w:effect w:val="none"/>
      <w:vertAlign w:val="baseline"/>
      <w:cs w:val="0"/>
      <w:em w:val="none"/>
    </w:rPr>
  </w:style>
  <w:style w:type="paragraph" w:styleId="Testofumetto">
    <w:name w:val="Balloon Text"/>
    <w:basedOn w:val="Normale"/>
    <w:qFormat/>
    <w:rsid w:val="00644808"/>
    <w:pPr>
      <w:spacing w:after="0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rsid w:val="00644808"/>
    <w:rPr>
      <w:rFonts w:ascii="Lucida Grande" w:hAnsi="Lucida Grande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Nessunaspaziatura">
    <w:name w:val="No Spacing"/>
    <w:uiPriority w:val="1"/>
    <w:qFormat/>
    <w:rsid w:val="00644808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ja-JP"/>
    </w:rPr>
  </w:style>
  <w:style w:type="character" w:styleId="Collegamentoipertestuale">
    <w:name w:val="Hyperlink"/>
    <w:qFormat/>
    <w:rsid w:val="00644808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NormaleWeb">
    <w:name w:val="Normal (Web)"/>
    <w:basedOn w:val="Normale"/>
    <w:qFormat/>
    <w:rsid w:val="00644808"/>
    <w:pPr>
      <w:spacing w:before="100" w:beforeAutospacing="1" w:after="119"/>
    </w:pPr>
    <w:rPr>
      <w:rFonts w:ascii="Times New Roman" w:eastAsia="Times New Roman" w:hAnsi="Times New Roman"/>
    </w:rPr>
  </w:style>
  <w:style w:type="paragraph" w:styleId="Sottotitolo">
    <w:name w:val="Subtitle"/>
    <w:basedOn w:val="Normale"/>
    <w:next w:val="Normale"/>
    <w:uiPriority w:val="11"/>
    <w:qFormat/>
    <w:rsid w:val="0064480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normal">
    <w:name w:val="normal"/>
    <w:rsid w:val="00C63649"/>
  </w:style>
  <w:style w:type="table" w:styleId="Grigliatabella">
    <w:name w:val="Table Grid"/>
    <w:basedOn w:val="Tabellanormale"/>
    <w:uiPriority w:val="39"/>
    <w:rsid w:val="004C39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Vo1N3s/y1GtL2pzv4Tk/J35aBA==">AMUW2mXs6J/ewaXVFNQSHXnC9CA/4aXJwxKl/X2yPrPT5kYggp7qHlsdny44SgPQGdAvdWYYZ/xZEGPnmm4yrQkvW4vGVuVWXhsA/8WUfF1Qfxh4hF0qtNY=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Fond. IRCCS Ca'Granda Osped. Magg. Policlinico</Company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Gabriele Montingelli</dc:creator>
  <cp:lastModifiedBy>roberto_polli</cp:lastModifiedBy>
  <cp:revision>10</cp:revision>
  <cp:lastPrinted>2022-10-07T07:43:00Z</cp:lastPrinted>
  <dcterms:created xsi:type="dcterms:W3CDTF">2022-10-06T13:01:00Z</dcterms:created>
  <dcterms:modified xsi:type="dcterms:W3CDTF">2022-10-17T12:57:00Z</dcterms:modified>
</cp:coreProperties>
</file>