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9D7A27">
        <w:rPr>
          <w:rFonts w:ascii="Cambria" w:hAnsi="Cambria" w:cs="Tahoma"/>
          <w:color w:val="000000"/>
          <w:sz w:val="22"/>
          <w:szCs w:val="22"/>
        </w:rPr>
        <w:t>19/09/2023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9D7A27" w:rsidRPr="009D7A27">
        <w:rPr>
          <w:rFonts w:ascii="Cambria" w:hAnsi="Cambria" w:cs="Tahoma"/>
          <w:b/>
          <w:color w:val="000000"/>
          <w:sz w:val="22"/>
          <w:szCs w:val="22"/>
        </w:rPr>
        <w:t>ID21ECO002.1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TNT non sterile.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 Importo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>€ 1.117.531,00+ € 745.020,67 per opzioni contrattual</w:t>
      </w:r>
      <w:r w:rsidR="009D7A27">
        <w:rPr>
          <w:rFonts w:ascii="Cambria" w:hAnsi="Cambria" w:cs="Tahoma"/>
          <w:color w:val="000000"/>
          <w:sz w:val="22"/>
          <w:szCs w:val="22"/>
        </w:rPr>
        <w:t>i. Apertura 27/09/2023 ore 12:30.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D7A27" w:rsidRPr="009D7A27">
        <w:rPr>
          <w:rFonts w:ascii="Cambria" w:hAnsi="Cambria" w:cs="Tahoma"/>
          <w:b/>
          <w:color w:val="000000"/>
          <w:sz w:val="22"/>
          <w:szCs w:val="22"/>
        </w:rPr>
        <w:t>ID21PRE019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dispositivi per anestesia: dispositivi per sistema </w:t>
      </w:r>
      <w:proofErr w:type="spellStart"/>
      <w:r w:rsidR="009D7A27" w:rsidRPr="009D7A27">
        <w:rPr>
          <w:rFonts w:ascii="Cambria" w:hAnsi="Cambria" w:cs="Tahoma"/>
          <w:color w:val="000000"/>
          <w:sz w:val="22"/>
          <w:szCs w:val="22"/>
        </w:rPr>
        <w:t>artero</w:t>
      </w:r>
      <w:proofErr w:type="spellEnd"/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-venoso, guide e introduttori, </w:t>
      </w:r>
      <w:proofErr w:type="spellStart"/>
      <w:r w:rsidR="009D7A27" w:rsidRPr="009D7A27">
        <w:rPr>
          <w:rFonts w:ascii="Cambria" w:hAnsi="Cambria" w:cs="Tahoma"/>
          <w:color w:val="000000"/>
          <w:sz w:val="22"/>
          <w:szCs w:val="22"/>
        </w:rPr>
        <w:t>adattori</w:t>
      </w:r>
      <w:proofErr w:type="spellEnd"/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, rubinetti, rampe, linee di prolungamento, trasduttore di pressione. 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>€ 16.141.938,48 + € 14.124.196,17 per opzioni contrattuali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. Apertura 26/09/2023 ore 09:30. 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D7A27" w:rsidRPr="009D7A27">
        <w:rPr>
          <w:rFonts w:ascii="Cambria" w:hAnsi="Cambria" w:cs="Tahoma"/>
          <w:b/>
          <w:color w:val="000000"/>
          <w:sz w:val="22"/>
          <w:szCs w:val="22"/>
        </w:rPr>
        <w:t>ID21PRE026.1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dispositivi per cateterismo vescicale in ambito ospedaliero.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>€ 316.991,04 + € 316.991,04 per opzioni contrattuali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. Apertura 26/09/2023 ore 11:00. 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D7A27" w:rsidRPr="009D7A27">
        <w:rPr>
          <w:rFonts w:ascii="Cambria" w:hAnsi="Cambria" w:cs="Tahoma"/>
          <w:b/>
          <w:color w:val="000000"/>
          <w:sz w:val="22"/>
          <w:szCs w:val="22"/>
        </w:rPr>
        <w:t>ID20PRE022.1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materiali di consumo per apparecchiature di proprietà.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>€ 21.672.405,80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>+ € 13.545.253,63 per opzioni contrattuali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. Apertura 27/09/2023 ore 11:00. </w:t>
      </w:r>
      <w:r w:rsidR="009D7A27" w:rsidRPr="009D7A27">
        <w:rPr>
          <w:rFonts w:ascii="Cambria" w:hAnsi="Cambria" w:cs="Tahoma"/>
          <w:b/>
          <w:color w:val="000000"/>
          <w:sz w:val="22"/>
          <w:szCs w:val="22"/>
        </w:rPr>
        <w:t>ID23PRE004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bracciali identificazione paziente. 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>€ 424.010,00</w:t>
      </w:r>
      <w:r w:rsidR="009D7A27" w:rsidRPr="009D7A27">
        <w:rPr>
          <w:rFonts w:ascii="Cambria" w:hAnsi="Cambria" w:cs="Tahoma"/>
          <w:color w:val="000000"/>
          <w:sz w:val="22"/>
          <w:szCs w:val="22"/>
        </w:rPr>
        <w:tab/>
        <w:t>+ € 371.008,75 per opzioni contrattuali.</w:t>
      </w:r>
      <w:r w:rsidR="009D7A27">
        <w:rPr>
          <w:rFonts w:ascii="Cambria" w:hAnsi="Cambria" w:cs="Tahoma"/>
          <w:color w:val="000000"/>
          <w:sz w:val="22"/>
          <w:szCs w:val="22"/>
        </w:rPr>
        <w:t xml:space="preserve"> Apertura 27/09/2023 ore 09:30. 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9D7A2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E009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2023-06-21T13:26:00Z</dcterms:modified>
</cp:coreProperties>
</file>