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>Arcs ha indetto l</w:t>
      </w:r>
      <w:r w:rsidR="00B16C92">
        <w:rPr>
          <w:rFonts w:ascii="Cambria" w:hAnsi="Cambria" w:cs="Tahoma"/>
          <w:color w:val="000000"/>
          <w:sz w:val="22"/>
          <w:szCs w:val="22"/>
        </w:rPr>
        <w:t>a seguente procedura aperta: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Scadenza </w:t>
      </w:r>
      <w:r w:rsidR="0035439C" w:rsidRPr="00B16C92">
        <w:rPr>
          <w:rFonts w:ascii="Cambria" w:hAnsi="Cambria" w:cs="Tahoma"/>
          <w:color w:val="000000"/>
          <w:sz w:val="22"/>
          <w:szCs w:val="22"/>
          <w:highlight w:val="yellow"/>
        </w:rPr>
        <w:t>21/02/2021 ore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12:00. </w:t>
      </w:r>
      <w:r w:rsidR="00B16C92">
        <w:rPr>
          <w:rFonts w:ascii="Cambria" w:hAnsi="Cambria" w:cs="Tahoma"/>
          <w:b/>
          <w:color w:val="000000"/>
          <w:sz w:val="22"/>
          <w:szCs w:val="22"/>
        </w:rPr>
        <w:t>ID19REA002</w:t>
      </w:r>
      <w:r w:rsidRPr="00D971D0">
        <w:rPr>
          <w:rFonts w:ascii="Cambria" w:hAnsi="Cambria" w:cs="Tahoma"/>
          <w:color w:val="000000"/>
          <w:sz w:val="22"/>
          <w:szCs w:val="22"/>
        </w:rPr>
        <w:t xml:space="preserve"> gara a procedura </w:t>
      </w:r>
      <w:proofErr w:type="gramStart"/>
      <w:r w:rsidRPr="00D971D0">
        <w:rPr>
          <w:rFonts w:ascii="Cambria" w:hAnsi="Cambria" w:cs="Tahoma"/>
          <w:color w:val="000000"/>
          <w:sz w:val="22"/>
          <w:szCs w:val="22"/>
        </w:rPr>
        <w:t>aperta  per</w:t>
      </w:r>
      <w:proofErr w:type="gramEnd"/>
      <w:r w:rsidRPr="00D971D0">
        <w:rPr>
          <w:rFonts w:ascii="Cambria" w:hAnsi="Cambria" w:cs="Tahoma"/>
          <w:color w:val="000000"/>
          <w:sz w:val="22"/>
          <w:szCs w:val="22"/>
        </w:rPr>
        <w:t xml:space="preserve"> la stipula di una convenzione per l’</w:t>
      </w:r>
      <w:r w:rsidR="0035439C">
        <w:rPr>
          <w:rFonts w:ascii="Cambria" w:hAnsi="Cambria" w:cs="Tahoma"/>
          <w:color w:val="000000"/>
          <w:sz w:val="22"/>
          <w:szCs w:val="22"/>
        </w:rPr>
        <w:t>affidamento della fornitura</w:t>
      </w:r>
      <w:r w:rsidR="00B16C92" w:rsidRPr="00B16C92">
        <w:rPr>
          <w:rFonts w:ascii="Cambria" w:hAnsi="Cambria" w:cs="Tahoma"/>
          <w:color w:val="000000"/>
          <w:sz w:val="22"/>
          <w:szCs w:val="22"/>
        </w:rPr>
        <w:t xml:space="preserve"> di materiale per laboratorio.</w:t>
      </w:r>
      <w:r w:rsidR="00B16C92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B16C92" w:rsidRPr="00B16C92">
        <w:rPr>
          <w:rFonts w:ascii="Cambria" w:hAnsi="Cambria" w:cs="Tahoma"/>
          <w:color w:val="000000"/>
          <w:sz w:val="22"/>
          <w:szCs w:val="22"/>
        </w:rPr>
        <w:t>€ 4.754.981,00 + € 4.160.608,38 per opzioni contrattuali.</w:t>
      </w:r>
      <w:bookmarkStart w:id="0" w:name="_GoBack"/>
      <w:bookmarkEnd w:id="0"/>
      <w:r w:rsidR="00B16C92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Apertura </w:t>
      </w:r>
      <w:r w:rsidR="0035439C" w:rsidRPr="00B16C92">
        <w:rPr>
          <w:rFonts w:ascii="Cambria" w:hAnsi="Cambria" w:cs="Tahoma"/>
          <w:color w:val="000000"/>
          <w:sz w:val="22"/>
          <w:szCs w:val="22"/>
          <w:highlight w:val="yellow"/>
        </w:rPr>
        <w:t>06/01/2021 ore 09:30</w:t>
      </w:r>
      <w:r w:rsidR="0035439C">
        <w:rPr>
          <w:rFonts w:ascii="Cambria" w:hAnsi="Cambria" w:cs="Tahoma"/>
          <w:color w:val="000000"/>
          <w:sz w:val="22"/>
          <w:szCs w:val="22"/>
        </w:rPr>
        <w:t>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 w:rsidR="00B16C92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espletat</w:t>
      </w:r>
      <w:r w:rsidR="00B16C92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16C92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06F97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2022-12-19T14:40:00Z</dcterms:modified>
</cp:coreProperties>
</file>