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2E475A">
        <w:rPr>
          <w:rFonts w:ascii="Cambria" w:hAnsi="Cambria" w:cs="Tahoma"/>
          <w:color w:val="000000"/>
          <w:sz w:val="22"/>
          <w:szCs w:val="22"/>
        </w:rPr>
        <w:t>a seguente procedura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 w:rsidR="002E475A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2E475A">
        <w:rPr>
          <w:rFonts w:ascii="Cambria" w:hAnsi="Cambria" w:cs="Tahoma"/>
          <w:color w:val="000000"/>
          <w:sz w:val="22"/>
          <w:szCs w:val="22"/>
        </w:rPr>
        <w:t>8/10/2022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2E475A" w:rsidRPr="002E475A">
        <w:rPr>
          <w:rFonts w:ascii="Cambria" w:hAnsi="Cambria" w:cs="Tahoma"/>
          <w:b/>
          <w:color w:val="000000"/>
          <w:sz w:val="22"/>
          <w:szCs w:val="22"/>
        </w:rPr>
        <w:t>ID21SER011</w:t>
      </w:r>
      <w:r w:rsidR="002E475A" w:rsidRPr="002E475A">
        <w:rPr>
          <w:rFonts w:ascii="Cambria" w:hAnsi="Cambria" w:cs="Tahoma"/>
          <w:color w:val="000000"/>
          <w:sz w:val="22"/>
          <w:szCs w:val="22"/>
        </w:rPr>
        <w:t xml:space="preserve"> Gara a procedura aperta per l’affidamento del servizio di manutenzione impianti e presidi antincendio dell’Azienda Sanitaria Universitaria Friuli Centrale per un periodo di 36 mesi</w:t>
      </w:r>
      <w:r w:rsidR="002E475A">
        <w:rPr>
          <w:rFonts w:ascii="Cambria" w:hAnsi="Cambria" w:cs="Tahoma"/>
          <w:color w:val="000000"/>
          <w:sz w:val="22"/>
          <w:szCs w:val="22"/>
        </w:rPr>
        <w:t>.</w:t>
      </w:r>
      <w:r w:rsidR="002E475A" w:rsidRPr="002E475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2E475A" w:rsidRPr="002E475A">
        <w:rPr>
          <w:rFonts w:ascii="Cambria" w:hAnsi="Cambria" w:cs="Tahoma"/>
          <w:color w:val="000000"/>
          <w:sz w:val="22"/>
          <w:szCs w:val="22"/>
        </w:rPr>
        <w:t xml:space="preserve">€ 381.000,00 + </w:t>
      </w:r>
      <w:proofErr w:type="gramStart"/>
      <w:r w:rsidR="002E475A" w:rsidRPr="002E475A">
        <w:rPr>
          <w:rFonts w:ascii="Cambria" w:hAnsi="Cambria" w:cs="Tahoma"/>
          <w:color w:val="000000"/>
          <w:sz w:val="22"/>
          <w:szCs w:val="22"/>
        </w:rPr>
        <w:t>IVA  +</w:t>
      </w:r>
      <w:proofErr w:type="gramEnd"/>
      <w:r w:rsidR="002E475A" w:rsidRPr="002E475A">
        <w:rPr>
          <w:rFonts w:ascii="Cambria" w:hAnsi="Cambria" w:cs="Tahoma"/>
          <w:color w:val="000000"/>
          <w:sz w:val="22"/>
          <w:szCs w:val="22"/>
        </w:rPr>
        <w:t xml:space="preserve"> € 8.000,00 oneri per rischi di natura interferenziale</w:t>
      </w:r>
      <w:r w:rsidR="002E475A" w:rsidRPr="002E475A">
        <w:rPr>
          <w:rFonts w:ascii="Cambria" w:hAnsi="Cambria" w:cs="Tahoma"/>
          <w:color w:val="000000"/>
          <w:sz w:val="22"/>
          <w:szCs w:val="22"/>
        </w:rPr>
        <w:tab/>
        <w:t>€ 666.750,00 + IVA per opzioni contrattuali.</w:t>
      </w:r>
      <w:r w:rsidR="002E475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2E475A">
        <w:rPr>
          <w:rFonts w:ascii="Cambria" w:hAnsi="Cambria" w:cs="Tahoma"/>
          <w:color w:val="000000"/>
          <w:sz w:val="22"/>
          <w:szCs w:val="22"/>
        </w:rPr>
        <w:t>02/11/2022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2E475A">
        <w:rPr>
          <w:rFonts w:ascii="Cambria" w:hAnsi="Cambria" w:cs="Tahoma"/>
          <w:color w:val="000000"/>
          <w:sz w:val="22"/>
          <w:szCs w:val="22"/>
        </w:rPr>
        <w:t>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2E475A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2E475A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2E475A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A722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2022-10-04T08:51:00Z</dcterms:modified>
</cp:coreProperties>
</file>