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530A53">
        <w:rPr>
          <w:rFonts w:ascii="Cambria" w:hAnsi="Cambria" w:cs="Tahoma"/>
          <w:color w:val="000000"/>
          <w:sz w:val="22"/>
          <w:szCs w:val="22"/>
        </w:rPr>
        <w:t>15/07/2022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530A53" w:rsidRPr="00530A53">
        <w:rPr>
          <w:rFonts w:ascii="Cambria" w:hAnsi="Cambria" w:cs="Tahoma"/>
          <w:b/>
          <w:color w:val="000000"/>
          <w:sz w:val="22"/>
          <w:szCs w:val="22"/>
        </w:rPr>
        <w:t>ID21ECO002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TNT non sterile.</w:t>
      </w:r>
      <w:r w:rsidR="00530A53">
        <w:rPr>
          <w:rFonts w:ascii="Cambria" w:hAnsi="Cambria" w:cs="Tahoma"/>
          <w:color w:val="000000"/>
          <w:sz w:val="22"/>
          <w:szCs w:val="22"/>
        </w:rPr>
        <w:t xml:space="preserve"> Importo </w:t>
      </w:r>
      <w:proofErr w:type="gramStart"/>
      <w:r w:rsidR="00530A53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 xml:space="preserve"> 4.743.100</w:t>
      </w:r>
      <w:proofErr w:type="gramEnd"/>
      <w:r w:rsidR="00530A53" w:rsidRPr="00530A53">
        <w:rPr>
          <w:rFonts w:ascii="Cambria" w:hAnsi="Cambria" w:cs="Tahoma"/>
          <w:color w:val="000000"/>
          <w:sz w:val="22"/>
          <w:szCs w:val="22"/>
        </w:rPr>
        <w:t>,00</w:t>
      </w:r>
      <w:r w:rsidR="00530A53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>+ € 3.162.066,67 per opzioni contrattuali</w:t>
      </w:r>
      <w:r w:rsidR="00530A53">
        <w:rPr>
          <w:rFonts w:ascii="Cambria" w:hAnsi="Cambria" w:cs="Tahoma"/>
          <w:color w:val="000000"/>
          <w:sz w:val="22"/>
          <w:szCs w:val="22"/>
        </w:rPr>
        <w:t xml:space="preserve">. Apertura 22/07/2022 ore 10.00. </w:t>
      </w:r>
      <w:r w:rsidR="00530A53" w:rsidRPr="00530A53">
        <w:rPr>
          <w:rFonts w:ascii="Cambria" w:hAnsi="Cambria" w:cs="Tahoma"/>
          <w:b/>
          <w:color w:val="000000"/>
          <w:sz w:val="22"/>
          <w:szCs w:val="22"/>
        </w:rPr>
        <w:t>ID21APB022.1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e installazione di ecotomografi per gli Enti del SSR FVG.</w:t>
      </w:r>
      <w:r w:rsidR="00530A53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>€ 6.630.000,00</w:t>
      </w:r>
      <w:r w:rsidR="00530A53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30A53" w:rsidRPr="00530A53">
        <w:rPr>
          <w:rFonts w:ascii="Cambria" w:hAnsi="Cambria" w:cs="Tahoma"/>
          <w:color w:val="000000"/>
          <w:sz w:val="22"/>
          <w:szCs w:val="22"/>
        </w:rPr>
        <w:t>+ € 31.651.807,60 per opzioni contrattuali</w:t>
      </w:r>
      <w:r w:rsidR="00530A53">
        <w:rPr>
          <w:rFonts w:ascii="Cambria" w:hAnsi="Cambria" w:cs="Tahoma"/>
          <w:color w:val="000000"/>
          <w:sz w:val="22"/>
          <w:szCs w:val="22"/>
        </w:rPr>
        <w:t>. Apertura 20/07/2022 ore 10:00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MS 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30A53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5BFC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2022-06-22T06:49:00Z</dcterms:modified>
</cp:coreProperties>
</file>