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B9739F">
        <w:rPr>
          <w:rFonts w:ascii="Cambria" w:hAnsi="Cambria" w:cs="Tahoma"/>
          <w:color w:val="000000"/>
          <w:sz w:val="22"/>
          <w:szCs w:val="22"/>
        </w:rPr>
        <w:t>01/04/2021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B9739F" w:rsidRPr="00B9739F">
        <w:rPr>
          <w:rFonts w:ascii="Cambria" w:hAnsi="Cambria" w:cs="Tahoma"/>
          <w:b/>
          <w:color w:val="000000"/>
          <w:sz w:val="22"/>
          <w:szCs w:val="22"/>
        </w:rPr>
        <w:t>ID19FAR004.1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monouso, materiale vario, reagenti per anatomia patologica.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€ 320.460,70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+ € 213.640,47 per opzioni contrattuali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. Apertura il 07/04/2021 ore 09:30. </w:t>
      </w:r>
      <w:r w:rsidR="00B9739F" w:rsidRPr="00B9739F">
        <w:rPr>
          <w:rFonts w:ascii="Cambria" w:hAnsi="Cambria" w:cs="Tahoma"/>
          <w:b/>
          <w:color w:val="000000"/>
          <w:sz w:val="22"/>
          <w:szCs w:val="22"/>
        </w:rPr>
        <w:t>ID20PRE023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lame e bisturi.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ab/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€ 1.259.906,65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+ € 1.102.418,32 per opzioni contrattuali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. Apertura il 08/04/2021 ore 09:30. </w:t>
      </w:r>
      <w:r w:rsidR="00B9739F" w:rsidRPr="00B9739F">
        <w:rPr>
          <w:rFonts w:ascii="Cambria" w:hAnsi="Cambria" w:cs="Tahoma"/>
          <w:b/>
          <w:color w:val="000000"/>
          <w:sz w:val="22"/>
          <w:szCs w:val="22"/>
        </w:rPr>
        <w:t xml:space="preserve">ID20PRO001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procedura aperta per l’affidamento della fornitura in accordo quadro di protesi mammarie.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€ 2.245.396,00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+ € 1.571.777,20 per opzioni contrattuali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. Apertura il 09/04/2021 ore 09:30. </w:t>
      </w:r>
      <w:r w:rsidR="00B9739F" w:rsidRPr="00B9739F">
        <w:rPr>
          <w:rFonts w:ascii="Cambria" w:hAnsi="Cambria" w:cs="Tahoma"/>
          <w:b/>
          <w:color w:val="000000"/>
          <w:sz w:val="22"/>
          <w:szCs w:val="22"/>
        </w:rPr>
        <w:t>ID17PRO007.1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</w:t>
      </w:r>
      <w:r w:rsidR="00B9739F">
        <w:rPr>
          <w:rFonts w:ascii="Cambria" w:hAnsi="Cambria" w:cs="Tahoma"/>
          <w:color w:val="000000"/>
          <w:sz w:val="22"/>
          <w:szCs w:val="22"/>
        </w:rPr>
        <w:t xml:space="preserve">fornitura di protesi vascolari. Importo 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>€ 328.010,00</w:t>
      </w:r>
      <w:r w:rsidR="00B9739F" w:rsidRPr="00B9739F">
        <w:rPr>
          <w:rFonts w:ascii="Cambria" w:hAnsi="Cambria" w:cs="Tahoma"/>
          <w:color w:val="000000"/>
          <w:sz w:val="22"/>
          <w:szCs w:val="22"/>
        </w:rPr>
        <w:tab/>
        <w:t>+ € 311.609,50 per opzioni contrattuali</w:t>
      </w:r>
      <w:r w:rsidR="00B9739F">
        <w:rPr>
          <w:rFonts w:ascii="Cambria" w:hAnsi="Cambria" w:cs="Tahoma"/>
          <w:color w:val="000000"/>
          <w:sz w:val="22"/>
          <w:szCs w:val="22"/>
        </w:rPr>
        <w:t>. Apertura il 12/04/2021 ore 09:30.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B9739F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59EE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2021-02-16T09:50:00Z</dcterms:modified>
</cp:coreProperties>
</file>