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  <w:r w:rsidR="00591A58">
        <w:rPr>
          <w:rFonts w:ascii="Cambria" w:hAnsi="Cambria"/>
          <w:color w:val="000000"/>
          <w:sz w:val="22"/>
          <w:szCs w:val="22"/>
        </w:rPr>
        <w:t>ID17SER003</w:t>
      </w:r>
    </w:p>
    <w:p w:rsidR="00D505E0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</w:t>
      </w:r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>CUC,  gara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a procedura aperta</w:t>
      </w:r>
      <w:r w:rsidR="00591A58">
        <w:rPr>
          <w:rFonts w:ascii="Cambria" w:hAnsi="Cambria" w:cs="Tahoma"/>
          <w:color w:val="000000"/>
          <w:sz w:val="22"/>
          <w:szCs w:val="22"/>
        </w:rPr>
        <w:t xml:space="preserve"> per l’affidamento del servizio di vigilanza armata </w:t>
      </w:r>
      <w:r w:rsidR="00591A58" w:rsidRPr="00591A58">
        <w:rPr>
          <w:rFonts w:ascii="Cambria" w:hAnsi="Cambria" w:cs="Tahoma"/>
          <w:color w:val="000000"/>
          <w:sz w:val="22"/>
          <w:szCs w:val="22"/>
        </w:rPr>
        <w:t>per gli Enti del SSR FVG.</w:t>
      </w:r>
      <w:r w:rsidR="00591A5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91A58" w:rsidRPr="00591A58">
        <w:rPr>
          <w:rFonts w:ascii="Cambria" w:hAnsi="Cambria" w:cs="Tahoma"/>
          <w:color w:val="000000"/>
          <w:sz w:val="22"/>
          <w:szCs w:val="22"/>
        </w:rPr>
        <w:t>€ 2.317.932,00 (+ € 6.953.796,00 per opzioni contrattuali).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591A58">
        <w:rPr>
          <w:rFonts w:ascii="Cambria" w:hAnsi="Cambria" w:cs="Tahoma"/>
          <w:color w:val="000000"/>
          <w:sz w:val="22"/>
          <w:szCs w:val="22"/>
        </w:rPr>
        <w:t xml:space="preserve">25/02/2019 ore 12.00, apertura 27/02/2019 ore 09:30. </w:t>
      </w:r>
      <w:bookmarkStart w:id="0" w:name="_GoBack"/>
      <w:bookmarkEnd w:id="0"/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91A58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2956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2018-12-27T10:36:00Z</dcterms:modified>
</cp:coreProperties>
</file>