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0F7E8B"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        </w:t>
      </w:r>
      <w:r w:rsidR="000F7E8B">
        <w:rPr>
          <w:rFonts w:ascii="Cambria" w:hAnsi="Cambria"/>
          <w:color w:val="000000"/>
          <w:sz w:val="22"/>
          <w:szCs w:val="22"/>
        </w:rPr>
        <w:t xml:space="preserve">        </w:t>
      </w:r>
      <w:r>
        <w:rPr>
          <w:rFonts w:ascii="Cambria" w:hAnsi="Cambria"/>
          <w:color w:val="000000"/>
          <w:sz w:val="22"/>
          <w:szCs w:val="22"/>
        </w:rPr>
        <w:t xml:space="preserve">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 ai sensi e per gli effetti dell’art. 1, comma 455 della legge n.296/2006,  gara a procedura aperta ai sensi del D.Lgs. 50/2016, per i beni di seguito indicati:</w:t>
      </w:r>
    </w:p>
    <w:p w:rsidR="000F7E8B" w:rsidRPr="00407675" w:rsidRDefault="000F7E8B" w:rsidP="000F7E8B">
      <w:pPr>
        <w:jc w:val="both"/>
        <w:rPr>
          <w:rFonts w:ascii="Cambria" w:hAnsi="Cambria" w:cs="Tahoma"/>
        </w:rPr>
      </w:pPr>
      <w:r w:rsidRPr="00407675">
        <w:rPr>
          <w:rFonts w:ascii="Cambria" w:hAnsi="Cambria" w:cs="Tahoma"/>
        </w:rPr>
        <w:t>ID16PRO013 CUC gara a procedura aperta, (art. 54 del D. Lgs. n. 50/2016), finalizzata alla</w:t>
      </w:r>
      <w:r>
        <w:rPr>
          <w:rFonts w:ascii="Cambria" w:hAnsi="Cambria" w:cs="Tahoma"/>
        </w:rPr>
        <w:t xml:space="preserve"> </w:t>
      </w:r>
    </w:p>
    <w:p w:rsidR="00194CD6" w:rsidRDefault="000F7E8B" w:rsidP="000F7E8B">
      <w:pPr>
        <w:autoSpaceDE w:val="0"/>
        <w:autoSpaceDN w:val="0"/>
        <w:adjustRightInd w:val="0"/>
        <w:jc w:val="both"/>
        <w:rPr>
          <w:rFonts w:ascii="Cambria" w:hAnsi="Cambria" w:cs="Tahoma"/>
        </w:rPr>
      </w:pPr>
      <w:r w:rsidRPr="00407675">
        <w:rPr>
          <w:rFonts w:ascii="Cambria" w:hAnsi="Cambria" w:cs="Tahoma"/>
        </w:rPr>
        <w:t>conclusione di un accordo quadro per l’affidamento della fornitura di protesi d’anca.</w:t>
      </w:r>
    </w:p>
    <w:p w:rsidR="00194CD6" w:rsidRDefault="000F7E8B" w:rsidP="000F7E8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  <w:r>
        <w:rPr>
          <w:rFonts w:ascii="Cambria" w:hAnsi="Cambria" w:cs="Tahoma"/>
        </w:rPr>
        <w:t xml:space="preserve"> </w:t>
      </w:r>
      <w:r w:rsidRPr="000F7E8B">
        <w:rPr>
          <w:rFonts w:ascii="Cambria" w:hAnsi="Cambria" w:cs="Tahoma"/>
          <w:color w:val="000000"/>
          <w:sz w:val="22"/>
          <w:szCs w:val="22"/>
        </w:rPr>
        <w:t>€ 13.939.514,94</w:t>
      </w:r>
      <w:r>
        <w:rPr>
          <w:rFonts w:ascii="Cambria" w:hAnsi="Cambria" w:cs="Tahoma"/>
          <w:color w:val="000000"/>
          <w:sz w:val="22"/>
          <w:szCs w:val="22"/>
        </w:rPr>
        <w:t xml:space="preserve"> + </w:t>
      </w:r>
      <w:r w:rsidRPr="000F7E8B">
        <w:rPr>
          <w:rFonts w:ascii="Cambria" w:hAnsi="Cambria" w:cs="Tahoma"/>
          <w:color w:val="000000"/>
          <w:sz w:val="22"/>
          <w:szCs w:val="22"/>
        </w:rPr>
        <w:t>€ 5.111.155,48 per opzioni contrattuali</w:t>
      </w:r>
      <w:r>
        <w:rPr>
          <w:rFonts w:ascii="Cambria" w:hAnsi="Cambria" w:cs="Tahoma"/>
          <w:color w:val="000000"/>
          <w:sz w:val="22"/>
          <w:szCs w:val="22"/>
        </w:rPr>
        <w:t xml:space="preserve">. </w:t>
      </w:r>
    </w:p>
    <w:p w:rsidR="000F7E8B" w:rsidRDefault="000F7E8B" w:rsidP="000F7E8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Scadenza 09/02/2018 ore 12:00 apertura 15/02/2018 ore 09:30.</w:t>
      </w:r>
    </w:p>
    <w:p w:rsidR="000F7E8B" w:rsidRPr="009506CA" w:rsidRDefault="000F7E8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F7E8B"/>
    <w:rsid w:val="00194CD6"/>
    <w:rsid w:val="00283C4E"/>
    <w:rsid w:val="004B1C76"/>
    <w:rsid w:val="00521F41"/>
    <w:rsid w:val="00587CFB"/>
    <w:rsid w:val="005B1CA5"/>
    <w:rsid w:val="007533FB"/>
    <w:rsid w:val="007841E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42F3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2018-01-10T15:54:00Z</dcterms:modified>
</cp:coreProperties>
</file>